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480"/>
      </w:pPr>
      <w:r>
        <w:rPr>
          <w:rFonts w:hint="eastAsia"/>
        </w:rPr>
        <w:t>附表3：建设项目地表水环境影响评价自查表</w:t>
      </w:r>
    </w:p>
    <w:tbl>
      <w:tblPr>
        <w:tblStyle w:val="20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91"/>
        <w:gridCol w:w="2410"/>
        <w:gridCol w:w="2126"/>
        <w:gridCol w:w="668"/>
        <w:gridCol w:w="752"/>
        <w:gridCol w:w="848"/>
        <w:gridCol w:w="1168"/>
        <w:gridCol w:w="1100"/>
        <w:gridCol w:w="853"/>
        <w:gridCol w:w="1274"/>
        <w:gridCol w:w="567"/>
        <w:gridCol w:w="15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2977" w:type="dxa"/>
            <w:gridSpan w:val="3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工作内容</w:t>
            </w:r>
          </w:p>
        </w:tc>
        <w:tc>
          <w:tcPr>
            <w:tcW w:w="10917" w:type="dxa"/>
            <w:gridSpan w:val="10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自查内容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影响识别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影响内容</w:t>
            </w:r>
          </w:p>
        </w:tc>
        <w:tc>
          <w:tcPr>
            <w:tcW w:w="10917" w:type="dxa"/>
            <w:gridSpan w:val="10"/>
            <w:shd w:val="clear" w:color="auto" w:fill="auto"/>
            <w:vAlign w:val="center"/>
          </w:tcPr>
          <w:p>
            <w:pPr>
              <w:pStyle w:val="31"/>
              <w:jc w:val="left"/>
            </w:pPr>
            <w:r>
              <w:rPr>
                <w:rFonts w:hint="eastAsia"/>
              </w:rPr>
              <w:t>水污染影响型 √；水文要素影响型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67" w:type="dxa"/>
            <w:gridSpan w:val="2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水环境保护目标</w:t>
            </w:r>
          </w:p>
        </w:tc>
        <w:tc>
          <w:tcPr>
            <w:tcW w:w="10917" w:type="dxa"/>
            <w:gridSpan w:val="10"/>
            <w:shd w:val="clear" w:color="auto" w:fill="auto"/>
            <w:vAlign w:val="center"/>
          </w:tcPr>
          <w:p>
            <w:pPr>
              <w:pStyle w:val="31"/>
              <w:jc w:val="left"/>
            </w:pPr>
            <w:r>
              <w:rPr>
                <w:rFonts w:hint="eastAsia"/>
              </w:rPr>
              <w:t>饮用水水源保护区 □；饮用水取水 □；涉水的自然保护区 □；重要湿地 □；</w:t>
            </w:r>
          </w:p>
          <w:p>
            <w:pPr>
              <w:pStyle w:val="31"/>
              <w:jc w:val="left"/>
            </w:pPr>
            <w:r>
              <w:rPr>
                <w:rFonts w:hint="eastAsia"/>
              </w:rPr>
              <w:t>重点保护与珍稀生物的栖息地 □；重要水生生物的产卵地及索饵场、越冬场和洄游通道、天然渔场等渔业水体 □；</w:t>
            </w:r>
          </w:p>
          <w:p>
            <w:pPr>
              <w:pStyle w:val="31"/>
              <w:jc w:val="left"/>
            </w:pPr>
            <w:r>
              <w:rPr>
                <w:rFonts w:hint="eastAsia"/>
              </w:rPr>
              <w:t>涉水的风景名胜区 □；其他√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67" w:type="dxa"/>
            <w:gridSpan w:val="2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影响途径</w:t>
            </w:r>
          </w:p>
        </w:tc>
        <w:tc>
          <w:tcPr>
            <w:tcW w:w="5562" w:type="dxa"/>
            <w:gridSpan w:val="5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水污染影响型</w:t>
            </w:r>
          </w:p>
        </w:tc>
        <w:tc>
          <w:tcPr>
            <w:tcW w:w="5355" w:type="dxa"/>
            <w:gridSpan w:val="5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水文要素影响型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67" w:type="dxa"/>
            <w:gridSpan w:val="2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5562" w:type="dxa"/>
            <w:gridSpan w:val="5"/>
            <w:shd w:val="clear" w:color="auto" w:fill="auto"/>
            <w:vAlign w:val="center"/>
          </w:tcPr>
          <w:p>
            <w:pPr>
              <w:pStyle w:val="31"/>
              <w:jc w:val="left"/>
            </w:pPr>
            <w:r>
              <w:rPr>
                <w:rFonts w:hint="eastAsia"/>
              </w:rPr>
              <w:t>直接排放□；间接排放</w:t>
            </w:r>
            <w:r>
              <w:rPr>
                <w:rFonts w:hint="eastAsia"/>
              </w:rPr>
              <w:sym w:font="Wingdings 2" w:char="0052"/>
            </w:r>
            <w:r>
              <w:rPr>
                <w:rFonts w:hint="eastAsia"/>
              </w:rPr>
              <w:t>；其他</w:t>
            </w:r>
            <w:r>
              <w:rPr>
                <w:rFonts w:hint="eastAsia"/>
              </w:rPr>
              <w:sym w:font="Wingdings 2" w:char="0052"/>
            </w:r>
          </w:p>
        </w:tc>
        <w:tc>
          <w:tcPr>
            <w:tcW w:w="5355" w:type="dxa"/>
            <w:gridSpan w:val="5"/>
            <w:shd w:val="clear" w:color="auto" w:fill="auto"/>
            <w:vAlign w:val="center"/>
          </w:tcPr>
          <w:p>
            <w:pPr>
              <w:pStyle w:val="31"/>
              <w:jc w:val="left"/>
            </w:pPr>
            <w:r>
              <w:rPr>
                <w:rFonts w:hint="eastAsia"/>
              </w:rPr>
              <w:t>水温 □；径流 □；水域面积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67" w:type="dxa"/>
            <w:gridSpan w:val="2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影响因子</w:t>
            </w:r>
          </w:p>
        </w:tc>
        <w:tc>
          <w:tcPr>
            <w:tcW w:w="5562" w:type="dxa"/>
            <w:gridSpan w:val="5"/>
            <w:shd w:val="clear" w:color="auto" w:fill="auto"/>
            <w:vAlign w:val="center"/>
          </w:tcPr>
          <w:p>
            <w:pPr>
              <w:pStyle w:val="31"/>
              <w:jc w:val="left"/>
            </w:pPr>
            <w:r>
              <w:rPr>
                <w:rFonts w:hint="eastAsia"/>
              </w:rPr>
              <w:t>持久性污染物 □；有毒有害污染物 □；非持久性污染物 √；</w:t>
            </w:r>
          </w:p>
          <w:p>
            <w:pPr>
              <w:pStyle w:val="31"/>
              <w:jc w:val="left"/>
            </w:pPr>
            <w:r>
              <w:rPr>
                <w:rFonts w:hint="eastAsia"/>
              </w:rPr>
              <w:t xml:space="preserve">pH值 □；热污染 □；富营养化 □；其他 □；  </w:t>
            </w:r>
          </w:p>
        </w:tc>
        <w:tc>
          <w:tcPr>
            <w:tcW w:w="5355" w:type="dxa"/>
            <w:gridSpan w:val="5"/>
            <w:shd w:val="clear" w:color="auto" w:fill="auto"/>
            <w:vAlign w:val="center"/>
          </w:tcPr>
          <w:p>
            <w:pPr>
              <w:pStyle w:val="31"/>
              <w:jc w:val="left"/>
            </w:pPr>
            <w:r>
              <w:rPr>
                <w:rFonts w:hint="eastAsia"/>
              </w:rPr>
              <w:t>水温 □；水位（水深） □；流速 □；流量 □；其他□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977" w:type="dxa"/>
            <w:gridSpan w:val="3"/>
            <w:vMerge w:val="restart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评价等级</w:t>
            </w:r>
          </w:p>
        </w:tc>
        <w:tc>
          <w:tcPr>
            <w:tcW w:w="5562" w:type="dxa"/>
            <w:gridSpan w:val="5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水污染影响型</w:t>
            </w:r>
          </w:p>
        </w:tc>
        <w:tc>
          <w:tcPr>
            <w:tcW w:w="5355" w:type="dxa"/>
            <w:gridSpan w:val="5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水文要素影响型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977" w:type="dxa"/>
            <w:gridSpan w:val="3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5562" w:type="dxa"/>
            <w:gridSpan w:val="5"/>
            <w:shd w:val="clear" w:color="auto" w:fill="auto"/>
            <w:vAlign w:val="center"/>
          </w:tcPr>
          <w:p>
            <w:pPr>
              <w:pStyle w:val="31"/>
              <w:jc w:val="left"/>
            </w:pPr>
            <w:r>
              <w:rPr>
                <w:rFonts w:hint="eastAsia"/>
              </w:rPr>
              <w:t xml:space="preserve">一级 □；二级 </w:t>
            </w:r>
            <w:r>
              <w:rPr>
                <w:rFonts w:hint="eastAsia"/>
              </w:rPr>
              <w:sym w:font="Wingdings 2" w:char="0052"/>
            </w:r>
            <w:r>
              <w:rPr>
                <w:rFonts w:hint="eastAsia"/>
              </w:rPr>
              <w:t xml:space="preserve">；三级A□；三级B </w:t>
            </w:r>
            <w:r>
              <w:rPr>
                <w:rFonts w:hint="eastAsia"/>
              </w:rPr>
              <w:sym w:font="Wingdings 2" w:char="0052"/>
            </w:r>
          </w:p>
        </w:tc>
        <w:tc>
          <w:tcPr>
            <w:tcW w:w="5355" w:type="dxa"/>
            <w:gridSpan w:val="5"/>
            <w:shd w:val="clear" w:color="auto" w:fill="auto"/>
            <w:vAlign w:val="center"/>
          </w:tcPr>
          <w:p>
            <w:pPr>
              <w:pStyle w:val="31"/>
              <w:jc w:val="left"/>
            </w:pPr>
            <w:r>
              <w:rPr>
                <w:rFonts w:hint="eastAsia"/>
              </w:rPr>
              <w:t>一级 □；二级 □；三级□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restart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现状调查</w:t>
            </w:r>
          </w:p>
        </w:tc>
        <w:tc>
          <w:tcPr>
            <w:tcW w:w="2501" w:type="dxa"/>
            <w:gridSpan w:val="2"/>
            <w:vMerge w:val="restart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区域污染源</w:t>
            </w:r>
          </w:p>
        </w:tc>
        <w:tc>
          <w:tcPr>
            <w:tcW w:w="5562" w:type="dxa"/>
            <w:gridSpan w:val="5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调查时期</w:t>
            </w:r>
          </w:p>
        </w:tc>
        <w:tc>
          <w:tcPr>
            <w:tcW w:w="5355" w:type="dxa"/>
            <w:gridSpan w:val="5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数据来源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794" w:type="dxa"/>
            <w:gridSpan w:val="2"/>
            <w:tcBorders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31"/>
              <w:jc w:val="left"/>
            </w:pPr>
            <w:r>
              <w:rPr>
                <w:rFonts w:hint="eastAsia"/>
              </w:rPr>
              <w:t>已建□；在建 □；拟建√；</w:t>
            </w:r>
          </w:p>
          <w:p>
            <w:pPr>
              <w:pStyle w:val="31"/>
              <w:jc w:val="left"/>
            </w:pPr>
            <w:r>
              <w:rPr>
                <w:rFonts w:hint="eastAsia"/>
              </w:rPr>
              <w:t>其他 □</w:t>
            </w:r>
          </w:p>
        </w:tc>
        <w:tc>
          <w:tcPr>
            <w:tcW w:w="2768" w:type="dxa"/>
            <w:gridSpan w:val="3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pStyle w:val="31"/>
              <w:jc w:val="left"/>
            </w:pPr>
            <w:r>
              <w:rPr>
                <w:rFonts w:hint="eastAsia"/>
              </w:rPr>
              <w:t>拟替代的污染源 □</w:t>
            </w:r>
          </w:p>
        </w:tc>
        <w:tc>
          <w:tcPr>
            <w:tcW w:w="5355" w:type="dxa"/>
            <w:gridSpan w:val="5"/>
            <w:shd w:val="clear" w:color="auto" w:fill="auto"/>
            <w:vAlign w:val="center"/>
          </w:tcPr>
          <w:p>
            <w:pPr>
              <w:pStyle w:val="31"/>
              <w:jc w:val="left"/>
            </w:pPr>
            <w:r>
              <w:rPr>
                <w:rFonts w:hint="eastAsia"/>
              </w:rPr>
              <w:t>排污许可证 □；环评 □；环保验收 □；既有实测 □；</w:t>
            </w:r>
          </w:p>
          <w:p>
            <w:pPr>
              <w:pStyle w:val="31"/>
              <w:jc w:val="left"/>
            </w:pPr>
            <w:r>
              <w:rPr>
                <w:rFonts w:hint="eastAsia"/>
              </w:rPr>
              <w:t>现场监测 □；入河口排放数据 □；其他 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vMerge w:val="restart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受影响水体水环境质量</w:t>
            </w:r>
          </w:p>
        </w:tc>
        <w:tc>
          <w:tcPr>
            <w:tcW w:w="5562" w:type="dxa"/>
            <w:gridSpan w:val="5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调查时期</w:t>
            </w:r>
          </w:p>
        </w:tc>
        <w:tc>
          <w:tcPr>
            <w:tcW w:w="5355" w:type="dxa"/>
            <w:gridSpan w:val="5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数据来源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5562" w:type="dxa"/>
            <w:gridSpan w:val="5"/>
            <w:shd w:val="clear" w:color="auto" w:fill="auto"/>
            <w:vAlign w:val="center"/>
          </w:tcPr>
          <w:p>
            <w:pPr>
              <w:pStyle w:val="31"/>
              <w:jc w:val="both"/>
            </w:pPr>
            <w:r>
              <w:rPr>
                <w:rFonts w:hint="eastAsia"/>
              </w:rPr>
              <w:t>丰水期 □；平水期 □；枯水期 □；冰封期 □；</w:t>
            </w:r>
          </w:p>
          <w:p>
            <w:pPr>
              <w:pStyle w:val="31"/>
              <w:jc w:val="both"/>
            </w:pPr>
            <w:r>
              <w:rPr>
                <w:rFonts w:hint="eastAsia"/>
              </w:rPr>
              <w:t>春季 □；夏季 □；秋季 □；冬季 □</w:t>
            </w:r>
          </w:p>
        </w:tc>
        <w:tc>
          <w:tcPr>
            <w:tcW w:w="5355" w:type="dxa"/>
            <w:gridSpan w:val="5"/>
            <w:shd w:val="clear" w:color="auto" w:fill="auto"/>
            <w:vAlign w:val="center"/>
          </w:tcPr>
          <w:p>
            <w:pPr>
              <w:pStyle w:val="31"/>
              <w:jc w:val="both"/>
            </w:pPr>
            <w:r>
              <w:rPr>
                <w:rFonts w:hint="eastAsia"/>
              </w:rPr>
              <w:t>生态主管部门 □；补充监测 □；其他 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区域水资源开发利用状况</w:t>
            </w:r>
          </w:p>
        </w:tc>
        <w:tc>
          <w:tcPr>
            <w:tcW w:w="10917" w:type="dxa"/>
            <w:gridSpan w:val="10"/>
            <w:shd w:val="clear" w:color="auto" w:fill="auto"/>
            <w:vAlign w:val="center"/>
          </w:tcPr>
          <w:p>
            <w:pPr>
              <w:pStyle w:val="31"/>
              <w:jc w:val="both"/>
            </w:pPr>
            <w:r>
              <w:rPr>
                <w:rFonts w:hint="eastAsia"/>
              </w:rPr>
              <w:t>未开发 □；开发量40%以下 √；开发量40%以上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vMerge w:val="restart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水文情势调查</w:t>
            </w:r>
          </w:p>
        </w:tc>
        <w:tc>
          <w:tcPr>
            <w:tcW w:w="5562" w:type="dxa"/>
            <w:gridSpan w:val="5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调查时期</w:t>
            </w:r>
          </w:p>
        </w:tc>
        <w:tc>
          <w:tcPr>
            <w:tcW w:w="5355" w:type="dxa"/>
            <w:gridSpan w:val="5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数据来源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5562" w:type="dxa"/>
            <w:gridSpan w:val="5"/>
            <w:shd w:val="clear" w:color="auto" w:fill="auto"/>
            <w:vAlign w:val="center"/>
          </w:tcPr>
          <w:p>
            <w:pPr>
              <w:pStyle w:val="31"/>
              <w:jc w:val="both"/>
            </w:pPr>
            <w:r>
              <w:rPr>
                <w:rFonts w:hint="eastAsia"/>
              </w:rPr>
              <w:t>丰水期 □；平水期 □；枯水期 □；冰封期 □；</w:t>
            </w:r>
          </w:p>
          <w:p>
            <w:pPr>
              <w:pStyle w:val="31"/>
              <w:jc w:val="both"/>
            </w:pPr>
            <w:r>
              <w:rPr>
                <w:rFonts w:hint="eastAsia"/>
              </w:rPr>
              <w:t>春季 □；夏季 □；秋季 □；冬季 □</w:t>
            </w:r>
          </w:p>
        </w:tc>
        <w:tc>
          <w:tcPr>
            <w:tcW w:w="5355" w:type="dxa"/>
            <w:gridSpan w:val="5"/>
            <w:shd w:val="clear" w:color="auto" w:fill="auto"/>
            <w:vAlign w:val="center"/>
          </w:tcPr>
          <w:p>
            <w:pPr>
              <w:pStyle w:val="31"/>
              <w:jc w:val="both"/>
            </w:pPr>
            <w:r>
              <w:rPr>
                <w:rFonts w:hint="eastAsia"/>
              </w:rPr>
              <w:t>水行政部门 □；补充监测 □；其他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vMerge w:val="restart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补充监测</w:t>
            </w:r>
          </w:p>
        </w:tc>
        <w:tc>
          <w:tcPr>
            <w:tcW w:w="5562" w:type="dxa"/>
            <w:gridSpan w:val="5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监测时期</w:t>
            </w:r>
          </w:p>
        </w:tc>
        <w:tc>
          <w:tcPr>
            <w:tcW w:w="3227" w:type="dxa"/>
            <w:gridSpan w:val="3"/>
            <w:tcBorders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监测因子</w:t>
            </w:r>
          </w:p>
        </w:tc>
        <w:tc>
          <w:tcPr>
            <w:tcW w:w="2128" w:type="dxa"/>
            <w:gridSpan w:val="2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监测断面或点位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5562" w:type="dxa"/>
            <w:gridSpan w:val="5"/>
            <w:shd w:val="clear" w:color="auto" w:fill="auto"/>
            <w:vAlign w:val="center"/>
          </w:tcPr>
          <w:p>
            <w:pPr>
              <w:pStyle w:val="31"/>
              <w:jc w:val="both"/>
            </w:pPr>
            <w:r>
              <w:rPr>
                <w:rFonts w:hint="eastAsia"/>
              </w:rPr>
              <w:t>丰水期 □；平水期 □；枯水期 □；冰封期 □；</w:t>
            </w:r>
          </w:p>
          <w:p>
            <w:pPr>
              <w:pStyle w:val="31"/>
              <w:jc w:val="both"/>
            </w:pPr>
            <w:r>
              <w:rPr>
                <w:rFonts w:hint="eastAsia"/>
              </w:rPr>
              <w:t>春季 □；夏季 □；秋季 □；冬季 □</w:t>
            </w:r>
          </w:p>
        </w:tc>
        <w:tc>
          <w:tcPr>
            <w:tcW w:w="3227" w:type="dxa"/>
            <w:gridSpan w:val="3"/>
            <w:tcBorders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128" w:type="dxa"/>
            <w:gridSpan w:val="2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监测断面或点位个数</w:t>
            </w:r>
          </w:p>
          <w:p>
            <w:pPr>
              <w:pStyle w:val="31"/>
            </w:pPr>
            <w:r>
              <w:rPr>
                <w:rFonts w:hint="eastAsia"/>
              </w:rPr>
              <w:t>（  ）个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restart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现状评价</w:t>
            </w:r>
          </w:p>
        </w:tc>
        <w:tc>
          <w:tcPr>
            <w:tcW w:w="2501" w:type="dxa"/>
            <w:gridSpan w:val="2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评价范围</w:t>
            </w:r>
          </w:p>
        </w:tc>
        <w:tc>
          <w:tcPr>
            <w:tcW w:w="10917" w:type="dxa"/>
            <w:gridSpan w:val="10"/>
            <w:shd w:val="clear" w:color="auto" w:fill="auto"/>
            <w:vAlign w:val="center"/>
          </w:tcPr>
          <w:p>
            <w:pPr>
              <w:pStyle w:val="31"/>
              <w:jc w:val="both"/>
            </w:pPr>
            <w:r>
              <w:rPr>
                <w:rFonts w:hint="eastAsia"/>
              </w:rPr>
              <w:t>河流：长度（  ）km；湖库、河口及近海海域：（ ）km</w:t>
            </w:r>
            <w:r>
              <w:rPr>
                <w:rFonts w:hint="eastAsia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评价因子</w:t>
            </w:r>
          </w:p>
        </w:tc>
        <w:tc>
          <w:tcPr>
            <w:tcW w:w="10917" w:type="dxa"/>
            <w:gridSpan w:val="10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（COD）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评价标准</w:t>
            </w:r>
          </w:p>
        </w:tc>
        <w:tc>
          <w:tcPr>
            <w:tcW w:w="10917" w:type="dxa"/>
            <w:gridSpan w:val="10"/>
            <w:shd w:val="clear" w:color="auto" w:fill="auto"/>
            <w:vAlign w:val="center"/>
          </w:tcPr>
          <w:p>
            <w:pPr>
              <w:pStyle w:val="31"/>
              <w:jc w:val="both"/>
            </w:pPr>
            <w:r>
              <w:rPr>
                <w:rFonts w:hint="eastAsia"/>
              </w:rPr>
              <w:t xml:space="preserve">河流、湖泊、河口：Ⅰ类 □；Ⅱ类 </w:t>
            </w:r>
            <w:r>
              <w:rPr>
                <w:rFonts w:hint="eastAsia"/>
              </w:rPr>
              <w:sym w:font="Wingdings 2" w:char="0052"/>
            </w:r>
            <w:r>
              <w:rPr>
                <w:rFonts w:hint="eastAsia"/>
              </w:rPr>
              <w:t>；Ⅲ类□；Ⅳ类□；Ⅴ类 □</w:t>
            </w:r>
          </w:p>
          <w:p>
            <w:pPr>
              <w:pStyle w:val="31"/>
              <w:jc w:val="both"/>
            </w:pPr>
            <w:r>
              <w:rPr>
                <w:rFonts w:hint="eastAsia"/>
              </w:rPr>
              <w:t>近海海域：第一类 □；第二类 □；第三类 □；第四类 □</w:t>
            </w:r>
          </w:p>
          <w:p>
            <w:pPr>
              <w:pStyle w:val="31"/>
              <w:jc w:val="both"/>
            </w:pPr>
            <w:r>
              <w:rPr>
                <w:rFonts w:hint="eastAsia"/>
              </w:rPr>
              <w:t>规划年评价标准（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评价时期</w:t>
            </w:r>
          </w:p>
        </w:tc>
        <w:tc>
          <w:tcPr>
            <w:tcW w:w="10917" w:type="dxa"/>
            <w:gridSpan w:val="10"/>
            <w:shd w:val="clear" w:color="auto" w:fill="auto"/>
            <w:vAlign w:val="center"/>
          </w:tcPr>
          <w:p>
            <w:pPr>
              <w:pStyle w:val="31"/>
              <w:jc w:val="both"/>
            </w:pPr>
            <w:r>
              <w:rPr>
                <w:rFonts w:hint="eastAsia"/>
              </w:rPr>
              <w:t>丰水期 □；平水期 □；枯水期 □；冰封期 □；</w:t>
            </w:r>
          </w:p>
          <w:p>
            <w:pPr>
              <w:pStyle w:val="31"/>
              <w:jc w:val="both"/>
            </w:pPr>
            <w:r>
              <w:rPr>
                <w:rFonts w:hint="eastAsia"/>
              </w:rPr>
              <w:t>春季 □；夏季 □；秋季 □；冬季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评价结论</w:t>
            </w:r>
          </w:p>
        </w:tc>
        <w:tc>
          <w:tcPr>
            <w:tcW w:w="9356" w:type="dxa"/>
            <w:gridSpan w:val="9"/>
            <w:tcBorders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31"/>
              <w:jc w:val="both"/>
            </w:pPr>
            <w:r>
              <w:rPr>
                <w:rFonts w:hint="eastAsia"/>
              </w:rPr>
              <w:t>水环境功能区及水功能区、近岸海域环境功能区水质达标状况 □：达标 √；不达标 □</w:t>
            </w:r>
          </w:p>
          <w:p>
            <w:pPr>
              <w:pStyle w:val="31"/>
              <w:jc w:val="both"/>
            </w:pPr>
            <w:r>
              <w:rPr>
                <w:rFonts w:hint="eastAsia"/>
              </w:rPr>
              <w:t>水环境控制单元及或断面水质达标状况 □：达标 □；不达标 □</w:t>
            </w:r>
          </w:p>
          <w:p>
            <w:pPr>
              <w:pStyle w:val="31"/>
              <w:jc w:val="both"/>
            </w:pPr>
            <w:r>
              <w:rPr>
                <w:rFonts w:hint="eastAsia"/>
              </w:rPr>
              <w:t>水环境保护目标质量状况 □：达标 □；不达标 □</w:t>
            </w:r>
          </w:p>
          <w:p>
            <w:pPr>
              <w:pStyle w:val="31"/>
              <w:jc w:val="both"/>
            </w:pPr>
            <w:r>
              <w:rPr>
                <w:rFonts w:hint="eastAsia"/>
              </w:rPr>
              <w:t>对照断面、控制断面等代表性断面的水质状况 □：达标 □；不达标 □</w:t>
            </w:r>
          </w:p>
          <w:p>
            <w:pPr>
              <w:pStyle w:val="31"/>
              <w:jc w:val="both"/>
            </w:pPr>
            <w:r>
              <w:rPr>
                <w:rFonts w:hint="eastAsia"/>
              </w:rPr>
              <w:t>底泥污染评价 □</w:t>
            </w:r>
          </w:p>
          <w:p>
            <w:pPr>
              <w:pStyle w:val="31"/>
              <w:jc w:val="both"/>
            </w:pPr>
            <w:r>
              <w:rPr>
                <w:rFonts w:hint="eastAsia"/>
              </w:rPr>
              <w:t>水资源与开发利用程度及其水文情势评价 □</w:t>
            </w:r>
          </w:p>
          <w:p>
            <w:pPr>
              <w:pStyle w:val="31"/>
              <w:jc w:val="both"/>
            </w:pPr>
            <w:r>
              <w:rPr>
                <w:rFonts w:hint="eastAsia"/>
              </w:rPr>
              <w:t xml:space="preserve">水环境质量回顾评价 □ </w:t>
            </w:r>
          </w:p>
          <w:p>
            <w:pPr>
              <w:pStyle w:val="31"/>
              <w:jc w:val="both"/>
            </w:pPr>
            <w:r>
              <w:rPr>
                <w:rFonts w:hint="eastAsia"/>
              </w:rPr>
              <w:t>流域（区域）水资源（包括水能资源）与开发利用总体状况、生态流量管理要求与现状满足程度、建设项目占用水域空间的水流状况与河湖演变状况 □</w:t>
            </w:r>
          </w:p>
        </w:tc>
        <w:tc>
          <w:tcPr>
            <w:tcW w:w="1561" w:type="dxa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达标区 </w:t>
            </w:r>
            <w:r>
              <w:rPr>
                <w:rFonts w:hint="eastAsia"/>
              </w:rPr>
              <w:t>√</w:t>
            </w:r>
            <w:r>
              <w:rPr>
                <w:rFonts w:hint="eastAsia" w:ascii="Times New Roman" w:hAnsi="Times New Roman"/>
              </w:rPr>
              <w:t>；</w:t>
            </w:r>
          </w:p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/>
              </w:rPr>
              <w:t>不达标区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restart"/>
            <w:shd w:val="clear" w:color="auto" w:fill="auto"/>
            <w:vAlign w:val="center"/>
          </w:tcPr>
          <w:p>
            <w:pPr>
              <w:pStyle w:val="31"/>
              <w:jc w:val="both"/>
            </w:pPr>
            <w:r>
              <w:rPr>
                <w:rFonts w:hint="eastAsia"/>
              </w:rPr>
              <w:t>影响预测</w:t>
            </w:r>
          </w:p>
        </w:tc>
        <w:tc>
          <w:tcPr>
            <w:tcW w:w="2501" w:type="dxa"/>
            <w:gridSpan w:val="2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预测范围</w:t>
            </w:r>
          </w:p>
        </w:tc>
        <w:tc>
          <w:tcPr>
            <w:tcW w:w="10917" w:type="dxa"/>
            <w:gridSpan w:val="10"/>
            <w:shd w:val="clear" w:color="auto" w:fill="auto"/>
            <w:vAlign w:val="center"/>
          </w:tcPr>
          <w:p>
            <w:pPr>
              <w:pStyle w:val="31"/>
              <w:jc w:val="both"/>
            </w:pPr>
            <w:r>
              <w:rPr>
                <w:rFonts w:hint="eastAsia"/>
              </w:rPr>
              <w:t>河流：长度（  ）km；湖库、河口及近海海域：（）km</w:t>
            </w:r>
            <w:r>
              <w:rPr>
                <w:rFonts w:hint="eastAsia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预测因子</w:t>
            </w:r>
          </w:p>
        </w:tc>
        <w:tc>
          <w:tcPr>
            <w:tcW w:w="10917" w:type="dxa"/>
            <w:gridSpan w:val="10"/>
            <w:shd w:val="clear" w:color="auto" w:fill="auto"/>
            <w:vAlign w:val="center"/>
          </w:tcPr>
          <w:p>
            <w:pPr>
              <w:pStyle w:val="31"/>
              <w:jc w:val="both"/>
            </w:pPr>
            <w:r>
              <w:rPr>
                <w:rFonts w:hint="eastAsia"/>
              </w:rPr>
              <w:t>（）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预测时期</w:t>
            </w:r>
          </w:p>
        </w:tc>
        <w:tc>
          <w:tcPr>
            <w:tcW w:w="10917" w:type="dxa"/>
            <w:gridSpan w:val="10"/>
            <w:shd w:val="clear" w:color="auto" w:fill="auto"/>
            <w:vAlign w:val="center"/>
          </w:tcPr>
          <w:p>
            <w:pPr>
              <w:pStyle w:val="31"/>
              <w:jc w:val="both"/>
            </w:pPr>
            <w:r>
              <w:rPr>
                <w:rFonts w:hint="eastAsia"/>
              </w:rPr>
              <w:t>丰水期 □；平水期 □；枯水期 □；冰封期 □；</w:t>
            </w:r>
          </w:p>
          <w:p>
            <w:pPr>
              <w:pStyle w:val="31"/>
              <w:jc w:val="both"/>
            </w:pPr>
            <w:r>
              <w:rPr>
                <w:rFonts w:hint="eastAsia"/>
              </w:rPr>
              <w:t>春季 □；夏季 □；秋季 □；冬季 □</w:t>
            </w:r>
          </w:p>
          <w:p>
            <w:pPr>
              <w:pStyle w:val="31"/>
              <w:jc w:val="both"/>
            </w:pPr>
            <w:r>
              <w:rPr>
                <w:rFonts w:hint="eastAsia"/>
              </w:rPr>
              <w:t>设计水文条件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预测情景</w:t>
            </w:r>
          </w:p>
        </w:tc>
        <w:tc>
          <w:tcPr>
            <w:tcW w:w="10917" w:type="dxa"/>
            <w:gridSpan w:val="10"/>
            <w:shd w:val="clear" w:color="auto" w:fill="auto"/>
            <w:vAlign w:val="center"/>
          </w:tcPr>
          <w:p>
            <w:pPr>
              <w:pStyle w:val="31"/>
              <w:jc w:val="both"/>
            </w:pPr>
            <w:r>
              <w:rPr>
                <w:rFonts w:hint="eastAsia"/>
              </w:rPr>
              <w:t>建设期 □；生产运行期 □；服务期满后 □</w:t>
            </w:r>
          </w:p>
          <w:p>
            <w:pPr>
              <w:pStyle w:val="31"/>
              <w:jc w:val="both"/>
            </w:pPr>
            <w:r>
              <w:rPr>
                <w:rFonts w:hint="eastAsia"/>
              </w:rPr>
              <w:t>正常工况 □；非正常工况 □</w:t>
            </w:r>
          </w:p>
          <w:p>
            <w:pPr>
              <w:pStyle w:val="31"/>
              <w:jc w:val="both"/>
            </w:pPr>
            <w:r>
              <w:rPr>
                <w:rFonts w:hint="eastAsia"/>
              </w:rPr>
              <w:t>污染控制和减缓措施方案 □</w:t>
            </w:r>
          </w:p>
          <w:p>
            <w:pPr>
              <w:pStyle w:val="31"/>
              <w:jc w:val="both"/>
            </w:pPr>
            <w:r>
              <w:rPr>
                <w:rFonts w:hint="eastAsia"/>
              </w:rPr>
              <w:t>区（流）域环境质量改善目标要求情景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预测方法</w:t>
            </w:r>
          </w:p>
        </w:tc>
        <w:tc>
          <w:tcPr>
            <w:tcW w:w="10917" w:type="dxa"/>
            <w:gridSpan w:val="10"/>
            <w:shd w:val="clear" w:color="auto" w:fill="auto"/>
            <w:vAlign w:val="center"/>
          </w:tcPr>
          <w:p>
            <w:pPr>
              <w:pStyle w:val="31"/>
              <w:jc w:val="both"/>
            </w:pPr>
            <w:r>
              <w:rPr>
                <w:rFonts w:hint="eastAsia"/>
              </w:rPr>
              <w:t>数值解 □；解析解 □；其他 □</w:t>
            </w:r>
          </w:p>
          <w:p>
            <w:pPr>
              <w:pStyle w:val="31"/>
              <w:jc w:val="both"/>
            </w:pPr>
            <w:r>
              <w:rPr>
                <w:rFonts w:hint="eastAsia"/>
              </w:rPr>
              <w:t>导测推荐模式 □；其他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76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影响评价</w:t>
            </w:r>
          </w:p>
        </w:tc>
        <w:tc>
          <w:tcPr>
            <w:tcW w:w="2501" w:type="dxa"/>
            <w:gridSpan w:val="2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水污染控制和水环境影响减缓措施有效性评价</w:t>
            </w:r>
          </w:p>
        </w:tc>
        <w:tc>
          <w:tcPr>
            <w:tcW w:w="10917" w:type="dxa"/>
            <w:gridSpan w:val="10"/>
            <w:shd w:val="clear" w:color="auto" w:fill="auto"/>
            <w:vAlign w:val="center"/>
          </w:tcPr>
          <w:p>
            <w:pPr>
              <w:pStyle w:val="31"/>
              <w:jc w:val="left"/>
            </w:pPr>
            <w:r>
              <w:rPr>
                <w:rFonts w:hint="eastAsia"/>
              </w:rPr>
              <w:t>区（流）域环境质量改善目标□；其他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水环境影响评价</w:t>
            </w:r>
          </w:p>
        </w:tc>
        <w:tc>
          <w:tcPr>
            <w:tcW w:w="10917" w:type="dxa"/>
            <w:gridSpan w:val="10"/>
            <w:shd w:val="clear" w:color="auto" w:fill="auto"/>
            <w:vAlign w:val="center"/>
          </w:tcPr>
          <w:p>
            <w:pPr>
              <w:pStyle w:val="31"/>
              <w:jc w:val="both"/>
            </w:pPr>
            <w:r>
              <w:rPr>
                <w:rFonts w:hint="eastAsia"/>
              </w:rPr>
              <w:t>排放口混合区外满足水环境管理要求 □；</w:t>
            </w:r>
          </w:p>
          <w:p>
            <w:pPr>
              <w:pStyle w:val="31"/>
              <w:jc w:val="left"/>
            </w:pPr>
            <w:r>
              <w:rPr>
                <w:rFonts w:hint="eastAsia"/>
              </w:rPr>
              <w:t>水环境功能区或水功能区、近岸海域环境功能区水质达标√；</w:t>
            </w:r>
          </w:p>
          <w:p>
            <w:pPr>
              <w:pStyle w:val="31"/>
              <w:jc w:val="left"/>
            </w:pPr>
            <w:r>
              <w:rPr>
                <w:rFonts w:hint="eastAsia"/>
              </w:rPr>
              <w:t>满足水环境保护目标或水环境质量要求 □；</w:t>
            </w:r>
          </w:p>
          <w:p>
            <w:pPr>
              <w:pStyle w:val="31"/>
              <w:jc w:val="left"/>
            </w:pPr>
            <w:r>
              <w:rPr>
                <w:rFonts w:hint="eastAsia"/>
              </w:rPr>
              <w:t>水环境控制单元或水质达标 □；</w:t>
            </w:r>
          </w:p>
          <w:p>
            <w:pPr>
              <w:pStyle w:val="31"/>
              <w:jc w:val="left"/>
            </w:pPr>
            <w:r>
              <w:rPr>
                <w:rFonts w:hint="eastAsia"/>
              </w:rPr>
              <w:t>满足重点水污染物排放总量控制指标要求，重点行业建设项目，主要污染物排放满足等量或减量替代要求 □；</w:t>
            </w:r>
          </w:p>
          <w:p>
            <w:pPr>
              <w:pStyle w:val="31"/>
              <w:jc w:val="left"/>
            </w:pPr>
            <w:r>
              <w:rPr>
                <w:rFonts w:hint="eastAsia"/>
              </w:rPr>
              <w:t>满足区（流）域环境质量改善目标要求 □；</w:t>
            </w:r>
          </w:p>
          <w:p>
            <w:pPr>
              <w:pStyle w:val="31"/>
              <w:jc w:val="left"/>
            </w:pPr>
            <w:r>
              <w:rPr>
                <w:rFonts w:hint="eastAsia"/>
              </w:rPr>
              <w:t>水温要素影响型建设项目同时应包括水文情势变化评价、主要水文特征值影响评价、生态流量符合性评价 □；</w:t>
            </w:r>
          </w:p>
          <w:p>
            <w:pPr>
              <w:pStyle w:val="31"/>
              <w:jc w:val="left"/>
            </w:pPr>
            <w:r>
              <w:rPr>
                <w:rFonts w:hint="eastAsia"/>
              </w:rPr>
              <w:t>对于新设或调整入河（湖库、近岸海域）排放口的建设项目，应包括排放口设置的合理性评价 □；</w:t>
            </w:r>
          </w:p>
          <w:p>
            <w:pPr>
              <w:pStyle w:val="31"/>
              <w:jc w:val="left"/>
            </w:pPr>
            <w:r>
              <w:rPr>
                <w:rFonts w:hint="eastAsia"/>
              </w:rPr>
              <w:t>满足生态保护红线、水环境质量底线、资源利用上线和环境准入清单管理要求 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vMerge w:val="restart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污染物排放量核算</w:t>
            </w:r>
          </w:p>
        </w:tc>
        <w:tc>
          <w:tcPr>
            <w:tcW w:w="3546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污染物名称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排放量（t/a）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排放浓度（mg/L）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3546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（COD）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（</w:t>
            </w:r>
            <w:r>
              <w:t>mg/L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3546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（NH3-N）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（</w:t>
            </w:r>
            <w:r>
              <w:t>mg/L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vMerge w:val="restart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替代污染源排放情况</w:t>
            </w:r>
          </w:p>
        </w:tc>
        <w:tc>
          <w:tcPr>
            <w:tcW w:w="21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污染源名称</w:t>
            </w:r>
          </w:p>
        </w:tc>
        <w:tc>
          <w:tcPr>
            <w:tcW w:w="226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排污许可证</w:t>
            </w:r>
          </w:p>
        </w:tc>
        <w:tc>
          <w:tcPr>
            <w:tcW w:w="226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污染物名称</w:t>
            </w:r>
          </w:p>
        </w:tc>
        <w:tc>
          <w:tcPr>
            <w:tcW w:w="212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排放量（t/a）</w:t>
            </w:r>
          </w:p>
        </w:tc>
        <w:tc>
          <w:tcPr>
            <w:tcW w:w="2128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排放浓度（mg/L）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vMerge w:val="continue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（）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（）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（）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（）</w:t>
            </w:r>
          </w:p>
        </w:tc>
        <w:tc>
          <w:tcPr>
            <w:tcW w:w="2128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（）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生态流量确定</w:t>
            </w:r>
          </w:p>
        </w:tc>
        <w:tc>
          <w:tcPr>
            <w:tcW w:w="10917" w:type="dxa"/>
            <w:gridSpan w:val="10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  <w:jc w:val="left"/>
            </w:pPr>
            <w:r>
              <w:rPr>
                <w:rFonts w:hint="eastAsia"/>
              </w:rPr>
              <w:t>生态流量：一般水期（）m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/s；鱼类繁殖期（）m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/s；其他（）m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/s</w:t>
            </w:r>
          </w:p>
          <w:p>
            <w:pPr>
              <w:pStyle w:val="31"/>
              <w:jc w:val="left"/>
            </w:pPr>
            <w:r>
              <w:rPr>
                <w:rFonts w:hint="eastAsia"/>
              </w:rPr>
              <w:t>生态水位：一般水期（）m；鱼类繁殖期（）m；其他（）m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restart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防治措施</w:t>
            </w:r>
          </w:p>
        </w:tc>
        <w:tc>
          <w:tcPr>
            <w:tcW w:w="2501" w:type="dxa"/>
            <w:gridSpan w:val="2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环保措施</w:t>
            </w:r>
          </w:p>
        </w:tc>
        <w:tc>
          <w:tcPr>
            <w:tcW w:w="10917" w:type="dxa"/>
            <w:gridSpan w:val="10"/>
            <w:shd w:val="clear" w:color="auto" w:fill="auto"/>
            <w:vAlign w:val="center"/>
          </w:tcPr>
          <w:p>
            <w:pPr>
              <w:pStyle w:val="31"/>
              <w:jc w:val="both"/>
            </w:pPr>
            <w:r>
              <w:rPr>
                <w:rFonts w:hint="eastAsia"/>
              </w:rPr>
              <w:t>污水处理措施 □；水文减缓措施 □；生态流量保障措施 □；区域消减 □；依托其他工程措施 □；其他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vMerge w:val="restart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监测计划</w:t>
            </w:r>
          </w:p>
        </w:tc>
        <w:tc>
          <w:tcPr>
            <w:tcW w:w="3546" w:type="dxa"/>
            <w:gridSpan w:val="3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3969" w:type="dxa"/>
            <w:gridSpan w:val="4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环境质量</w:t>
            </w:r>
          </w:p>
        </w:tc>
        <w:tc>
          <w:tcPr>
            <w:tcW w:w="3402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污染源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354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监测方式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 xml:space="preserve">手动 □；自动 </w:t>
            </w:r>
            <w:bookmarkStart w:id="0" w:name="_GoBack"/>
            <w:r>
              <w:rPr>
                <w:rFonts w:hint="eastAsia"/>
              </w:rPr>
              <w:t>√</w:t>
            </w:r>
            <w:bookmarkEnd w:id="0"/>
            <w:r>
              <w:rPr>
                <w:rFonts w:hint="eastAsia"/>
              </w:rPr>
              <w:t>；无检测 □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手动 □；自动 □；无检测□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354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监测点位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（）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（）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3546" w:type="dxa"/>
            <w:gridSpan w:val="3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监测因子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（）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（）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6" w:type="dxa"/>
            <w:vMerge w:val="continue"/>
            <w:shd w:val="clear" w:color="auto" w:fill="auto"/>
            <w:vAlign w:val="center"/>
          </w:tcPr>
          <w:p>
            <w:pPr>
              <w:pStyle w:val="31"/>
            </w:pPr>
          </w:p>
        </w:tc>
        <w:tc>
          <w:tcPr>
            <w:tcW w:w="2501" w:type="dxa"/>
            <w:gridSpan w:val="2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 xml:space="preserve"> 污染物排放清单</w:t>
            </w:r>
          </w:p>
        </w:tc>
        <w:tc>
          <w:tcPr>
            <w:tcW w:w="10917" w:type="dxa"/>
            <w:gridSpan w:val="10"/>
            <w:shd w:val="clear" w:color="auto" w:fill="auto"/>
            <w:vAlign w:val="center"/>
          </w:tcPr>
          <w:p>
            <w:pPr>
              <w:pStyle w:val="31"/>
              <w:jc w:val="left"/>
            </w:pPr>
            <w:r>
              <w:rPr>
                <w:rFonts w:hint="eastAsia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977" w:type="dxa"/>
            <w:gridSpan w:val="3"/>
            <w:shd w:val="clear" w:color="auto" w:fill="auto"/>
            <w:vAlign w:val="center"/>
          </w:tcPr>
          <w:p>
            <w:pPr>
              <w:pStyle w:val="31"/>
            </w:pPr>
            <w:r>
              <w:rPr>
                <w:rFonts w:hint="eastAsia"/>
              </w:rPr>
              <w:t>评价结论</w:t>
            </w:r>
          </w:p>
        </w:tc>
        <w:tc>
          <w:tcPr>
            <w:tcW w:w="10917" w:type="dxa"/>
            <w:gridSpan w:val="10"/>
            <w:shd w:val="clear" w:color="auto" w:fill="auto"/>
            <w:vAlign w:val="center"/>
          </w:tcPr>
          <w:p>
            <w:pPr>
              <w:pStyle w:val="31"/>
              <w:jc w:val="left"/>
            </w:pPr>
            <w:r>
              <w:rPr>
                <w:rFonts w:hint="eastAsia"/>
              </w:rPr>
              <w:t>可以接受 √；不可以接受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94" w:type="dxa"/>
            <w:gridSpan w:val="13"/>
            <w:shd w:val="clear" w:color="auto" w:fill="auto"/>
            <w:vAlign w:val="center"/>
          </w:tcPr>
          <w:p>
            <w:pPr>
              <w:pStyle w:val="31"/>
              <w:jc w:val="left"/>
            </w:pPr>
            <w:r>
              <w:rPr>
                <w:rFonts w:hint="eastAsia"/>
              </w:rPr>
              <w:t>注：“□”为勾选项，可√；“（  ）”为内容填写项；“备注”为其他补充内容。</w:t>
            </w:r>
          </w:p>
        </w:tc>
      </w:tr>
    </w:tbl>
    <w:p>
      <w:pPr>
        <w:pStyle w:val="3"/>
        <w:ind w:firstLine="480"/>
      </w:pPr>
    </w:p>
    <w:sectPr>
      <w:footerReference r:id="rId3" w:type="default"/>
      <w:pgSz w:w="16838" w:h="11906" w:orient="landscape"/>
      <w:pgMar w:top="1588" w:right="1474" w:bottom="136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12888583"/>
      <w:docPartObj>
        <w:docPartGallery w:val="AutoText"/>
      </w:docPartObj>
    </w:sdtPr>
    <w:sdtEndPr>
      <w:rPr>
        <w:rStyle w:val="23"/>
      </w:rPr>
    </w:sdtEndPr>
    <w:sdtContent>
      <w:p>
        <w:pPr>
          <w:pStyle w:val="17"/>
          <w:jc w:val="center"/>
          <w:rPr>
            <w:rStyle w:val="23"/>
            <w:rFonts w:eastAsia="宋体"/>
          </w:rPr>
        </w:pPr>
        <w:r>
          <w:rPr>
            <w:rStyle w:val="23"/>
            <w:rFonts w:eastAsia="宋体"/>
          </w:rPr>
          <w:fldChar w:fldCharType="begin"/>
        </w:r>
        <w:r>
          <w:rPr>
            <w:rStyle w:val="23"/>
            <w:rFonts w:eastAsia="宋体"/>
          </w:rPr>
          <w:instrText xml:space="preserve">PAGE   \* MERGEFORMAT</w:instrText>
        </w:r>
        <w:r>
          <w:rPr>
            <w:rStyle w:val="23"/>
            <w:rFonts w:eastAsia="宋体"/>
          </w:rPr>
          <w:fldChar w:fldCharType="separate"/>
        </w:r>
        <w:r>
          <w:rPr>
            <w:rStyle w:val="23"/>
            <w:rFonts w:eastAsia="宋体"/>
            <w:lang w:val="zh-CN"/>
          </w:rPr>
          <w:t>2</w:t>
        </w:r>
        <w:r>
          <w:rPr>
            <w:rStyle w:val="23"/>
            <w:rFonts w:eastAsia="宋体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FFFFF88"/>
    <w:lvl w:ilvl="0" w:tentative="0">
      <w:start w:val="1"/>
      <w:numFmt w:val="lowerLetter"/>
      <w:pStyle w:val="13"/>
      <w:lvlText w:val="%1)"/>
      <w:lvlJc w:val="left"/>
      <w:pPr>
        <w:ind w:left="63" w:hanging="420"/>
      </w:pPr>
    </w:lvl>
  </w:abstractNum>
  <w:abstractNum w:abstractNumId="1">
    <w:nsid w:val="FFFFFF89"/>
    <w:multiLevelType w:val="singleLevel"/>
    <w:tmpl w:val="FFFFFF89"/>
    <w:lvl w:ilvl="0" w:tentative="0">
      <w:start w:val="1"/>
      <w:numFmt w:val="bullet"/>
      <w:pStyle w:val="15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2">
    <w:nsid w:val="5C086DFE"/>
    <w:multiLevelType w:val="multilevel"/>
    <w:tmpl w:val="5C086DFE"/>
    <w:lvl w:ilvl="0" w:tentative="0">
      <w:start w:val="1"/>
      <w:numFmt w:val="decimal"/>
      <w:lvlText w:val="第 %1 章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8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9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A57"/>
    <w:rsid w:val="00003D63"/>
    <w:rsid w:val="00013D3C"/>
    <w:rsid w:val="00021122"/>
    <w:rsid w:val="00047EC8"/>
    <w:rsid w:val="00053AC3"/>
    <w:rsid w:val="0007080C"/>
    <w:rsid w:val="00083D32"/>
    <w:rsid w:val="00114648"/>
    <w:rsid w:val="001368D6"/>
    <w:rsid w:val="001403BB"/>
    <w:rsid w:val="0014068A"/>
    <w:rsid w:val="001518EC"/>
    <w:rsid w:val="0015272F"/>
    <w:rsid w:val="0016472E"/>
    <w:rsid w:val="00183008"/>
    <w:rsid w:val="001A0B2D"/>
    <w:rsid w:val="00227CCE"/>
    <w:rsid w:val="00244721"/>
    <w:rsid w:val="002479B5"/>
    <w:rsid w:val="0025310D"/>
    <w:rsid w:val="002716F2"/>
    <w:rsid w:val="002723DD"/>
    <w:rsid w:val="002A1BE4"/>
    <w:rsid w:val="002B0C3F"/>
    <w:rsid w:val="002C21EA"/>
    <w:rsid w:val="00343F81"/>
    <w:rsid w:val="00380A82"/>
    <w:rsid w:val="00393851"/>
    <w:rsid w:val="003977B3"/>
    <w:rsid w:val="003A70D0"/>
    <w:rsid w:val="003D0068"/>
    <w:rsid w:val="003E2A87"/>
    <w:rsid w:val="003F169F"/>
    <w:rsid w:val="004042CB"/>
    <w:rsid w:val="00404EA5"/>
    <w:rsid w:val="00405527"/>
    <w:rsid w:val="00432D6B"/>
    <w:rsid w:val="00442C88"/>
    <w:rsid w:val="00445BC2"/>
    <w:rsid w:val="00482630"/>
    <w:rsid w:val="004F5AAA"/>
    <w:rsid w:val="00576F96"/>
    <w:rsid w:val="0059760B"/>
    <w:rsid w:val="005A7315"/>
    <w:rsid w:val="005F158A"/>
    <w:rsid w:val="005F6527"/>
    <w:rsid w:val="0061168B"/>
    <w:rsid w:val="00611C41"/>
    <w:rsid w:val="00620263"/>
    <w:rsid w:val="0062603E"/>
    <w:rsid w:val="006308EA"/>
    <w:rsid w:val="00681E9B"/>
    <w:rsid w:val="00701389"/>
    <w:rsid w:val="00705BF3"/>
    <w:rsid w:val="007B3C3B"/>
    <w:rsid w:val="007E38AA"/>
    <w:rsid w:val="00800DF6"/>
    <w:rsid w:val="00836A29"/>
    <w:rsid w:val="00875931"/>
    <w:rsid w:val="00883A57"/>
    <w:rsid w:val="008B774E"/>
    <w:rsid w:val="008E3573"/>
    <w:rsid w:val="0095117F"/>
    <w:rsid w:val="009640CA"/>
    <w:rsid w:val="00965391"/>
    <w:rsid w:val="009E707A"/>
    <w:rsid w:val="00A52844"/>
    <w:rsid w:val="00A60E52"/>
    <w:rsid w:val="00A72397"/>
    <w:rsid w:val="00A7483E"/>
    <w:rsid w:val="00A80474"/>
    <w:rsid w:val="00A9035E"/>
    <w:rsid w:val="00AA5F69"/>
    <w:rsid w:val="00AC0332"/>
    <w:rsid w:val="00AC3AB1"/>
    <w:rsid w:val="00AC66BE"/>
    <w:rsid w:val="00AF1CCD"/>
    <w:rsid w:val="00B22359"/>
    <w:rsid w:val="00B60C41"/>
    <w:rsid w:val="00B90AEB"/>
    <w:rsid w:val="00BC5A8E"/>
    <w:rsid w:val="00BD27D0"/>
    <w:rsid w:val="00C048C9"/>
    <w:rsid w:val="00C6707B"/>
    <w:rsid w:val="00CA4866"/>
    <w:rsid w:val="00CD559A"/>
    <w:rsid w:val="00D2140B"/>
    <w:rsid w:val="00D70007"/>
    <w:rsid w:val="00DC549F"/>
    <w:rsid w:val="00DE55B9"/>
    <w:rsid w:val="00E01FB7"/>
    <w:rsid w:val="00E51B65"/>
    <w:rsid w:val="00E644A9"/>
    <w:rsid w:val="00E744FF"/>
    <w:rsid w:val="00E80B15"/>
    <w:rsid w:val="00E91F8B"/>
    <w:rsid w:val="00E9265F"/>
    <w:rsid w:val="00F03FE3"/>
    <w:rsid w:val="00F10DF5"/>
    <w:rsid w:val="00F32A86"/>
    <w:rsid w:val="00F34BC3"/>
    <w:rsid w:val="00F46CFD"/>
    <w:rsid w:val="00F62488"/>
    <w:rsid w:val="00F766D5"/>
    <w:rsid w:val="00F8222C"/>
    <w:rsid w:val="00FB17C7"/>
    <w:rsid w:val="00FC5434"/>
    <w:rsid w:val="00FC70B5"/>
    <w:rsid w:val="1B21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" w:name="heading 5"/>
    <w:lsdException w:uiPriority="9" w:name="heading 6"/>
    <w:lsdException w:uiPriority="9" w:name="heading 7"/>
    <w:lsdException w:uiPriority="9" w:name="heading 8"/>
    <w:lsdException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semiHidden="0" w:name="List Bullet"/>
    <w:lsdException w:qFormat="1" w:uiPriority="99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left="0" w:firstLine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3"/>
    <w:link w:val="25"/>
    <w:qFormat/>
    <w:uiPriority w:val="9"/>
    <w:pPr>
      <w:keepNext/>
      <w:keepLines/>
      <w:ind w:firstLine="0" w:firstLineChars="0"/>
      <w:jc w:val="left"/>
      <w:outlineLvl w:val="0"/>
    </w:pPr>
    <w:rPr>
      <w:rFonts w:eastAsia="黑体"/>
      <w:bCs/>
      <w:kern w:val="44"/>
      <w:szCs w:val="44"/>
    </w:rPr>
  </w:style>
  <w:style w:type="paragraph" w:styleId="5">
    <w:name w:val="heading 2"/>
    <w:basedOn w:val="1"/>
    <w:next w:val="3"/>
    <w:link w:val="24"/>
    <w:unhideWhenUsed/>
    <w:qFormat/>
    <w:uiPriority w:val="9"/>
    <w:pPr>
      <w:keepNext/>
      <w:keepLines/>
      <w:widowControl/>
      <w:adjustRightInd w:val="0"/>
      <w:snapToGrid w:val="0"/>
      <w:spacing w:line="360" w:lineRule="auto"/>
      <w:jc w:val="left"/>
      <w:outlineLvl w:val="1"/>
    </w:pPr>
    <w:rPr>
      <w:rFonts w:ascii="Times New Roman" w:hAnsi="Times New Roman" w:eastAsia="黑体" w:cstheme="majorBidi"/>
      <w:bCs/>
      <w:sz w:val="24"/>
      <w:szCs w:val="32"/>
    </w:rPr>
  </w:style>
  <w:style w:type="paragraph" w:styleId="6">
    <w:name w:val="heading 3"/>
    <w:basedOn w:val="1"/>
    <w:next w:val="3"/>
    <w:link w:val="26"/>
    <w:unhideWhenUsed/>
    <w:qFormat/>
    <w:uiPriority w:val="9"/>
    <w:pPr>
      <w:keepNext/>
      <w:keepLines/>
      <w:widowControl/>
      <w:adjustRightInd w:val="0"/>
      <w:snapToGrid w:val="0"/>
      <w:spacing w:line="360" w:lineRule="auto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7">
    <w:name w:val="heading 4"/>
    <w:basedOn w:val="1"/>
    <w:next w:val="3"/>
    <w:link w:val="27"/>
    <w:unhideWhenUsed/>
    <w:qFormat/>
    <w:uiPriority w:val="9"/>
    <w:pPr>
      <w:keepNext/>
      <w:keepLines/>
      <w:widowControl/>
      <w:adjustRightInd w:val="0"/>
      <w:snapToGrid w:val="0"/>
      <w:spacing w:line="360" w:lineRule="auto"/>
      <w:jc w:val="left"/>
      <w:outlineLvl w:val="3"/>
    </w:pPr>
    <w:rPr>
      <w:rFonts w:ascii="Times New Roman" w:hAnsi="Times New Roman" w:eastAsia="宋体" w:cstheme="majorBidi"/>
      <w:bCs/>
      <w:sz w:val="24"/>
      <w:szCs w:val="28"/>
    </w:rPr>
  </w:style>
  <w:style w:type="paragraph" w:styleId="8">
    <w:name w:val="heading 5"/>
    <w:basedOn w:val="1"/>
    <w:next w:val="1"/>
    <w:link w:val="34"/>
    <w:semiHidden/>
    <w:unhideWhenUsed/>
    <w:uiPriority w:val="9"/>
    <w:pPr>
      <w:keepNext/>
      <w:keepLines/>
      <w:widowControl/>
      <w:numPr>
        <w:ilvl w:val="4"/>
        <w:numId w:val="1"/>
      </w:numPr>
      <w:adjustRightInd w:val="0"/>
      <w:snapToGrid w:val="0"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9">
    <w:name w:val="heading 6"/>
    <w:basedOn w:val="1"/>
    <w:next w:val="1"/>
    <w:link w:val="35"/>
    <w:semiHidden/>
    <w:unhideWhenUsed/>
    <w:uiPriority w:val="9"/>
    <w:pPr>
      <w:keepNext/>
      <w:keepLines/>
      <w:widowControl/>
      <w:numPr>
        <w:ilvl w:val="5"/>
        <w:numId w:val="1"/>
      </w:numPr>
      <w:adjustRightInd w:val="0"/>
      <w:snapToGrid w:val="0"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10">
    <w:name w:val="heading 7"/>
    <w:basedOn w:val="1"/>
    <w:next w:val="1"/>
    <w:link w:val="36"/>
    <w:semiHidden/>
    <w:unhideWhenUsed/>
    <w:uiPriority w:val="9"/>
    <w:pPr>
      <w:keepNext/>
      <w:keepLines/>
      <w:widowControl/>
      <w:numPr>
        <w:ilvl w:val="6"/>
        <w:numId w:val="1"/>
      </w:numPr>
      <w:adjustRightInd w:val="0"/>
      <w:snapToGrid w:val="0"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11">
    <w:name w:val="heading 8"/>
    <w:basedOn w:val="1"/>
    <w:next w:val="1"/>
    <w:link w:val="37"/>
    <w:semiHidden/>
    <w:unhideWhenUsed/>
    <w:uiPriority w:val="9"/>
    <w:pPr>
      <w:keepNext/>
      <w:keepLines/>
      <w:widowControl/>
      <w:numPr>
        <w:ilvl w:val="7"/>
        <w:numId w:val="1"/>
      </w:numPr>
      <w:adjustRightInd w:val="0"/>
      <w:snapToGrid w:val="0"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2">
    <w:name w:val="heading 9"/>
    <w:basedOn w:val="1"/>
    <w:next w:val="1"/>
    <w:link w:val="38"/>
    <w:semiHidden/>
    <w:unhideWhenUsed/>
    <w:uiPriority w:val="9"/>
    <w:pPr>
      <w:keepNext/>
      <w:keepLines/>
      <w:widowControl/>
      <w:numPr>
        <w:ilvl w:val="8"/>
        <w:numId w:val="1"/>
      </w:numPr>
      <w:adjustRightInd w:val="0"/>
      <w:snapToGrid w:val="0"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30"/>
    <w:unhideWhenUsed/>
    <w:qFormat/>
    <w:uiPriority w:val="99"/>
    <w:pPr>
      <w:spacing w:after="0" w:line="360" w:lineRule="auto"/>
      <w:ind w:firstLine="200" w:firstLineChars="200"/>
    </w:pPr>
    <w:rPr>
      <w:rFonts w:ascii="Times New Roman" w:hAnsi="Times New Roman" w:eastAsia="宋体"/>
      <w:sz w:val="24"/>
    </w:rPr>
  </w:style>
  <w:style w:type="paragraph" w:styleId="4">
    <w:name w:val="Body Text"/>
    <w:basedOn w:val="1"/>
    <w:link w:val="29"/>
    <w:semiHidden/>
    <w:unhideWhenUsed/>
    <w:uiPriority w:val="99"/>
    <w:pPr>
      <w:widowControl/>
      <w:adjustRightInd w:val="0"/>
      <w:snapToGrid w:val="0"/>
      <w:spacing w:after="120"/>
    </w:pPr>
    <w:rPr>
      <w:szCs w:val="21"/>
    </w:rPr>
  </w:style>
  <w:style w:type="paragraph" w:styleId="13">
    <w:name w:val="List Number"/>
    <w:basedOn w:val="3"/>
    <w:unhideWhenUsed/>
    <w:qFormat/>
    <w:uiPriority w:val="99"/>
    <w:pPr>
      <w:numPr>
        <w:ilvl w:val="0"/>
        <w:numId w:val="2"/>
      </w:numPr>
      <w:ind w:left="0" w:firstLine="200"/>
    </w:pPr>
  </w:style>
  <w:style w:type="paragraph" w:styleId="14">
    <w:name w:val="caption"/>
    <w:basedOn w:val="1"/>
    <w:next w:val="3"/>
    <w:unhideWhenUsed/>
    <w:qFormat/>
    <w:uiPriority w:val="35"/>
    <w:pPr>
      <w:widowControl/>
      <w:adjustRightInd w:val="0"/>
      <w:snapToGrid w:val="0"/>
      <w:jc w:val="center"/>
    </w:pPr>
    <w:rPr>
      <w:rFonts w:ascii="Times New Roman" w:hAnsi="Times New Roman" w:eastAsia="黑体" w:cstheme="majorBidi"/>
      <w:sz w:val="24"/>
      <w:szCs w:val="20"/>
    </w:rPr>
  </w:style>
  <w:style w:type="paragraph" w:styleId="15">
    <w:name w:val="List Bullet"/>
    <w:basedOn w:val="1"/>
    <w:unhideWhenUsed/>
    <w:uiPriority w:val="99"/>
    <w:pPr>
      <w:widowControl/>
      <w:numPr>
        <w:ilvl w:val="0"/>
        <w:numId w:val="3"/>
      </w:numPr>
      <w:adjustRightInd w:val="0"/>
      <w:snapToGrid w:val="0"/>
      <w:contextualSpacing/>
    </w:pPr>
    <w:rPr>
      <w:szCs w:val="21"/>
    </w:rPr>
  </w:style>
  <w:style w:type="paragraph" w:styleId="16">
    <w:name w:val="Balloon Text"/>
    <w:basedOn w:val="1"/>
    <w:link w:val="33"/>
    <w:semiHidden/>
    <w:unhideWhenUsed/>
    <w:qFormat/>
    <w:uiPriority w:val="99"/>
    <w:pPr>
      <w:widowControl/>
      <w:adjustRightInd w:val="0"/>
      <w:snapToGrid w:val="0"/>
    </w:pPr>
    <w:rPr>
      <w:sz w:val="18"/>
      <w:szCs w:val="18"/>
    </w:rPr>
  </w:style>
  <w:style w:type="paragraph" w:styleId="17">
    <w:name w:val="footer"/>
    <w:basedOn w:val="1"/>
    <w:link w:val="40"/>
    <w:unhideWhenUsed/>
    <w:uiPriority w:val="99"/>
    <w:pPr>
      <w:widowControl/>
      <w:tabs>
        <w:tab w:val="center" w:pos="4153"/>
        <w:tab w:val="right" w:pos="8306"/>
      </w:tabs>
      <w:adjustRightInd w:val="0"/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styleId="18">
    <w:name w:val="header"/>
    <w:basedOn w:val="1"/>
    <w:link w:val="39"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jc w:val="center"/>
    </w:pPr>
    <w:rPr>
      <w:sz w:val="18"/>
      <w:szCs w:val="18"/>
    </w:rPr>
  </w:style>
  <w:style w:type="paragraph" w:styleId="19">
    <w:name w:val="Title"/>
    <w:basedOn w:val="1"/>
    <w:next w:val="3"/>
    <w:link w:val="28"/>
    <w:qFormat/>
    <w:uiPriority w:val="10"/>
    <w:pPr>
      <w:widowControl/>
      <w:adjustRightInd w:val="0"/>
      <w:snapToGrid w:val="0"/>
      <w:spacing w:line="360" w:lineRule="auto"/>
      <w:jc w:val="center"/>
    </w:pPr>
    <w:rPr>
      <w:rFonts w:ascii="Times New Roman" w:hAnsi="Times New Roman" w:eastAsia="华文中宋" w:cstheme="majorBidi"/>
      <w:b/>
      <w:bCs/>
      <w:color w:val="FF0000"/>
      <w:sz w:val="36"/>
      <w:szCs w:val="32"/>
    </w:rPr>
  </w:style>
  <w:style w:type="table" w:styleId="21">
    <w:name w:val="Table Grid"/>
    <w:basedOn w:val="20"/>
    <w:qFormat/>
    <w:uiPriority w:val="59"/>
    <w:pPr>
      <w:jc w:val="center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vAlign w:val="center"/>
    </w:tcPr>
  </w:style>
  <w:style w:type="character" w:styleId="23">
    <w:name w:val="page number"/>
    <w:basedOn w:val="22"/>
    <w:unhideWhenUsed/>
    <w:qFormat/>
    <w:uiPriority w:val="99"/>
    <w:rPr>
      <w:rFonts w:ascii="Times New Roman" w:hAnsi="Times New Roman" w:eastAsia="Times New Roman"/>
      <w:sz w:val="18"/>
    </w:rPr>
  </w:style>
  <w:style w:type="character" w:customStyle="1" w:styleId="24">
    <w:name w:val="标题 2 Char"/>
    <w:basedOn w:val="22"/>
    <w:link w:val="5"/>
    <w:uiPriority w:val="9"/>
    <w:rPr>
      <w:rFonts w:ascii="Times New Roman" w:hAnsi="Times New Roman" w:eastAsia="黑体" w:cstheme="majorBidi"/>
      <w:bCs/>
      <w:sz w:val="24"/>
      <w:szCs w:val="32"/>
    </w:rPr>
  </w:style>
  <w:style w:type="character" w:customStyle="1" w:styleId="25">
    <w:name w:val="标题 1 Char"/>
    <w:basedOn w:val="22"/>
    <w:link w:val="2"/>
    <w:uiPriority w:val="9"/>
    <w:rPr>
      <w:rFonts w:ascii="Times New Roman" w:hAnsi="Times New Roman" w:eastAsia="黑体"/>
      <w:bCs/>
      <w:kern w:val="44"/>
      <w:sz w:val="24"/>
      <w:szCs w:val="44"/>
    </w:rPr>
  </w:style>
  <w:style w:type="character" w:customStyle="1" w:styleId="26">
    <w:name w:val="标题 3 Char"/>
    <w:basedOn w:val="22"/>
    <w:link w:val="6"/>
    <w:uiPriority w:val="9"/>
    <w:rPr>
      <w:rFonts w:ascii="Times New Roman" w:hAnsi="Times New Roman" w:eastAsia="宋体"/>
      <w:bCs/>
      <w:sz w:val="24"/>
      <w:szCs w:val="32"/>
    </w:rPr>
  </w:style>
  <w:style w:type="character" w:customStyle="1" w:styleId="27">
    <w:name w:val="标题 4 Char"/>
    <w:basedOn w:val="22"/>
    <w:link w:val="7"/>
    <w:uiPriority w:val="9"/>
    <w:rPr>
      <w:rFonts w:ascii="Times New Roman" w:hAnsi="Times New Roman" w:eastAsia="宋体" w:cstheme="majorBidi"/>
      <w:bCs/>
      <w:sz w:val="24"/>
      <w:szCs w:val="28"/>
    </w:rPr>
  </w:style>
  <w:style w:type="character" w:customStyle="1" w:styleId="28">
    <w:name w:val="标题 Char"/>
    <w:basedOn w:val="22"/>
    <w:link w:val="19"/>
    <w:uiPriority w:val="10"/>
    <w:rPr>
      <w:rFonts w:ascii="Times New Roman" w:hAnsi="Times New Roman" w:eastAsia="华文中宋" w:cstheme="majorBidi"/>
      <w:b/>
      <w:bCs/>
      <w:color w:val="FF0000"/>
      <w:sz w:val="36"/>
      <w:szCs w:val="32"/>
    </w:rPr>
  </w:style>
  <w:style w:type="character" w:customStyle="1" w:styleId="29">
    <w:name w:val="正文文本 Char"/>
    <w:basedOn w:val="22"/>
    <w:link w:val="4"/>
    <w:semiHidden/>
    <w:uiPriority w:val="99"/>
  </w:style>
  <w:style w:type="character" w:customStyle="1" w:styleId="30">
    <w:name w:val="正文首行缩进 Char"/>
    <w:basedOn w:val="29"/>
    <w:link w:val="3"/>
    <w:uiPriority w:val="99"/>
    <w:rPr>
      <w:rFonts w:ascii="Times New Roman" w:hAnsi="Times New Roman" w:eastAsia="宋体"/>
      <w:sz w:val="24"/>
    </w:rPr>
  </w:style>
  <w:style w:type="paragraph" w:customStyle="1" w:styleId="31">
    <w:name w:val="表格文字"/>
    <w:basedOn w:val="1"/>
    <w:link w:val="32"/>
    <w:qFormat/>
    <w:uiPriority w:val="0"/>
    <w:pPr>
      <w:widowControl/>
      <w:adjustRightInd w:val="0"/>
      <w:snapToGrid w:val="0"/>
      <w:jc w:val="center"/>
    </w:pPr>
    <w:rPr>
      <w:rFonts w:ascii="Times New Roman" w:hAnsi="Times New Roman" w:eastAsia="宋体"/>
      <w:szCs w:val="21"/>
    </w:rPr>
  </w:style>
  <w:style w:type="character" w:customStyle="1" w:styleId="32">
    <w:name w:val="表格文字 Char"/>
    <w:basedOn w:val="22"/>
    <w:link w:val="31"/>
    <w:qFormat/>
    <w:uiPriority w:val="0"/>
    <w:rPr>
      <w:rFonts w:ascii="Times New Roman" w:hAnsi="Times New Roman" w:eastAsia="宋体"/>
    </w:rPr>
  </w:style>
  <w:style w:type="character" w:customStyle="1" w:styleId="33">
    <w:name w:val="批注框文本 Char"/>
    <w:basedOn w:val="22"/>
    <w:link w:val="16"/>
    <w:semiHidden/>
    <w:qFormat/>
    <w:uiPriority w:val="99"/>
    <w:rPr>
      <w:sz w:val="18"/>
      <w:szCs w:val="18"/>
    </w:rPr>
  </w:style>
  <w:style w:type="character" w:customStyle="1" w:styleId="34">
    <w:name w:val="标题 5 Char"/>
    <w:basedOn w:val="22"/>
    <w:link w:val="8"/>
    <w:semiHidden/>
    <w:uiPriority w:val="9"/>
    <w:rPr>
      <w:b/>
      <w:bCs/>
      <w:sz w:val="28"/>
      <w:szCs w:val="28"/>
    </w:rPr>
  </w:style>
  <w:style w:type="character" w:customStyle="1" w:styleId="35">
    <w:name w:val="标题 6 Char"/>
    <w:basedOn w:val="22"/>
    <w:link w:val="9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6">
    <w:name w:val="标题 7 Char"/>
    <w:basedOn w:val="22"/>
    <w:link w:val="10"/>
    <w:semiHidden/>
    <w:qFormat/>
    <w:uiPriority w:val="9"/>
    <w:rPr>
      <w:b/>
      <w:bCs/>
      <w:sz w:val="24"/>
      <w:szCs w:val="24"/>
    </w:rPr>
  </w:style>
  <w:style w:type="character" w:customStyle="1" w:styleId="37">
    <w:name w:val="标题 8 Char"/>
    <w:basedOn w:val="22"/>
    <w:link w:val="11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38">
    <w:name w:val="标题 9 Char"/>
    <w:basedOn w:val="22"/>
    <w:link w:val="12"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39">
    <w:name w:val="页眉 Char"/>
    <w:basedOn w:val="22"/>
    <w:link w:val="18"/>
    <w:qFormat/>
    <w:uiPriority w:val="99"/>
    <w:rPr>
      <w:sz w:val="18"/>
      <w:szCs w:val="18"/>
    </w:rPr>
  </w:style>
  <w:style w:type="character" w:customStyle="1" w:styleId="40">
    <w:name w:val="页脚 Char"/>
    <w:basedOn w:val="22"/>
    <w:link w:val="17"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67212D-EAAB-4721-9062-CEB01D57FB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339</Words>
  <Characters>1936</Characters>
  <Lines>16</Lines>
  <Paragraphs>4</Paragraphs>
  <TotalTime>1</TotalTime>
  <ScaleCrop>false</ScaleCrop>
  <LinksUpToDate>false</LinksUpToDate>
  <CharactersWithSpaces>2271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2019-03-29T01:16:00Z</dcterms:created>
  <dc:creator>User</dc:creator>
  <cp:lastModifiedBy>沈振</cp:lastModifiedBy>
  <dcterms:modified xsi:type="dcterms:W3CDTF">2020-08-06T23:20:56Z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